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5941B816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0C15B8">
        <w:rPr>
          <w:rFonts w:ascii="Montserrat" w:hAnsi="Montserrat" w:cs="Arial"/>
          <w:b/>
          <w:sz w:val="32"/>
        </w:rPr>
        <w:t>5</w:t>
      </w:r>
      <w:r w:rsidR="003D2574">
        <w:rPr>
          <w:rFonts w:ascii="Cambria" w:hAnsi="Cambria" w:cs="Cambria"/>
          <w:b/>
          <w:sz w:val="32"/>
        </w:rPr>
        <w:t>.</w:t>
      </w:r>
      <w:r w:rsidR="000C15B8">
        <w:rPr>
          <w:rFonts w:ascii="Montserrat" w:hAnsi="Montserrat" w:cs="Arial"/>
          <w:b/>
          <w:sz w:val="32"/>
        </w:rPr>
        <w:t>31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493FF91C" w14:textId="6A6FD82E" w:rsidR="00BA0D38" w:rsidRDefault="00BA0D38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>
        <w:rPr>
          <w:rFonts w:ascii="Montserrat" w:hAnsi="Montserrat" w:cs="Arial"/>
          <w:b/>
          <w:sz w:val="32"/>
        </w:rPr>
        <w:t>LOT 1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61AB1A82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0C15B8">
        <w:rPr>
          <w:rFonts w:ascii="Century Gothic" w:hAnsi="Century Gothic" w:cs="Open Sans"/>
        </w:rPr>
        <w:t>25</w:t>
      </w:r>
      <w:r w:rsidR="003D2574">
        <w:rPr>
          <w:rFonts w:ascii="Century Gothic" w:hAnsi="Century Gothic" w:cs="Open Sans"/>
        </w:rPr>
        <w:t>.</w:t>
      </w:r>
      <w:r w:rsidR="000C15B8">
        <w:rPr>
          <w:rFonts w:ascii="Century Gothic" w:hAnsi="Century Gothic" w:cs="Open Sans"/>
        </w:rPr>
        <w:t>31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</w:t>
      </w:r>
      <w:r w:rsidR="000C15B8">
        <w:rPr>
          <w:rFonts w:ascii="Century Gothic" w:hAnsi="Century Gothic" w:cs="Open Sans"/>
        </w:rPr>
        <w:t>adaptée</w:t>
      </w:r>
    </w:p>
    <w:p w14:paraId="061633BC" w14:textId="6022BC52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0C15B8" w:rsidRPr="00D45CAD">
        <w:rPr>
          <w:rFonts w:ascii="Century Gothic" w:hAnsi="Century Gothic" w:cs="Open Sans"/>
        </w:rPr>
        <w:t>Audit et certification du système de management du système de l’information (SMSI) selon le référentiel de certification HDS (Hébergement de Données de Santé) et la norme ISO/IEC 27001 pour l’Assistance Publique – Hôpitaux de Paris</w:t>
      </w:r>
    </w:p>
    <w:p w14:paraId="24FDD931" w14:textId="29EF9742" w:rsidR="00F276EE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678A93DE" w14:textId="2F231029" w:rsidR="00BA0D38" w:rsidRPr="00DE1496" w:rsidRDefault="00BA0D38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</w:t>
      </w:r>
      <w:r w:rsidRPr="00BA0D38">
        <w:rPr>
          <w:rFonts w:ascii="Century Gothic" w:hAnsi="Century Gothic" w:cs="Open Sans"/>
        </w:rPr>
        <w:t xml:space="preserve">Identification du lot attribué : </w:t>
      </w:r>
      <w:r w:rsidRPr="00BA0D38">
        <w:rPr>
          <w:rFonts w:ascii="Century Gothic" w:hAnsi="Century Gothic" w:cs="Open Sans"/>
          <w:b/>
          <w:bCs/>
        </w:rPr>
        <w:t>Lot 1 : Cycle de certification HDS/ISO27001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2FA4B3BE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222FF9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222FF9">
        <w:rPr>
          <w:rFonts w:ascii="Century Gothic" w:hAnsi="Century Gothic" w:cs="Open Sans"/>
        </w:rPr>
        <w:t>31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D45CAD">
        <w:rPr>
          <w:rFonts w:ascii="Century Gothic" w:hAnsi="Century Gothic" w:cs="Open Sans"/>
        </w:rPr>
      </w:r>
      <w:r w:rsidR="00D45CAD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D45CAD">
        <w:rPr>
          <w:rFonts w:ascii="Century Gothic" w:hAnsi="Century Gothic" w:cs="Open Sans"/>
        </w:rPr>
      </w:r>
      <w:r w:rsidR="00D45CAD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002CB755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</w:t>
      </w:r>
      <w:r w:rsidR="00211073" w:rsidRPr="006C176C">
        <w:rPr>
          <w:rFonts w:ascii="Century Gothic" w:hAnsi="Century Gothic" w:cs="Open Sans"/>
          <w:sz w:val="20"/>
        </w:rPr>
        <w:t>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640C2F49" w14:textId="5E9AA48D" w:rsidR="00211599" w:rsidRPr="00DE1496" w:rsidRDefault="00BA0D38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  <w:r w:rsidRPr="00BA0D38">
        <w:rPr>
          <w:rFonts w:ascii="Century Gothic" w:hAnsi="Century Gothic" w:cs="Open Sans"/>
          <w:i w:val="0"/>
          <w:color w:val="auto"/>
          <w:sz w:val="20"/>
        </w:rPr>
        <w:t>Est acceptée la présente offre pour valoir acte d’engagement, pour          (titre du lot) (lot n°_________ ) offre de base d’un montant minimum pour la durée ferme de _________ Euros H.T, soit _________ Euros T.T.C, et un montant maximum pour la durée ferme de __________ Euros H.T, soit __________ Euros T.T.C  (taux TVA=      ), pour le compte de _________, avec la société ou association________, pour la période ferme du________, au _________  éventuellement résiliable sans indemnité à la seule initiative de l’Assistance Publique – Hôpitaux de Paris à partir de 6 mois avant la fin du marché.</w:t>
      </w: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lastRenderedPageBreak/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7A5580C3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222FF9">
            <w:rPr>
              <w:rFonts w:ascii="Open Sans" w:hAnsi="Open Sans" w:cs="Open Sans"/>
              <w:sz w:val="18"/>
              <w:szCs w:val="18"/>
            </w:rPr>
            <w:t>5.31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4D8429C9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BA0D38">
            <w:rPr>
              <w:rFonts w:ascii="Open Sans" w:hAnsi="Open Sans" w:cs="Open Sans"/>
              <w:sz w:val="18"/>
              <w:szCs w:val="18"/>
            </w:rPr>
            <w:t>02</w:t>
          </w:r>
          <w:r>
            <w:rPr>
              <w:rFonts w:ascii="Open Sans" w:hAnsi="Open Sans" w:cs="Open Sans"/>
              <w:sz w:val="18"/>
              <w:szCs w:val="18"/>
            </w:rPr>
            <w:t>/</w:t>
          </w:r>
          <w:r w:rsidR="00BA0D38">
            <w:rPr>
              <w:rFonts w:ascii="Open Sans" w:hAnsi="Open Sans" w:cs="Open Sans"/>
              <w:sz w:val="18"/>
              <w:szCs w:val="18"/>
            </w:rPr>
            <w:t>10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C15B8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2FF9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0D38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CAD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804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9</cp:revision>
  <cp:lastPrinted>2016-07-28T09:49:00Z</cp:lastPrinted>
  <dcterms:created xsi:type="dcterms:W3CDTF">2024-10-02T09:51:00Z</dcterms:created>
  <dcterms:modified xsi:type="dcterms:W3CDTF">2025-10-02T09:37:00Z</dcterms:modified>
</cp:coreProperties>
</file>